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3D9C" w14:textId="1A0FC42D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1C56D634" w:rsidR="00177F46" w:rsidRDefault="00C56AAA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</w:t>
      </w:r>
      <w:r w:rsidR="00177F46"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ebe completarse según </w:t>
      </w: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los espacios correspondientes</w:t>
      </w:r>
      <w:r w:rsidR="00177F46"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de la unidad gestora</w:t>
      </w: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y programa presupuestario, </w:t>
      </w:r>
      <w:r w:rsidR="00E35F39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según corresponda</w:t>
      </w:r>
      <w:r w:rsidR="00177F46"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  <w:r w:rsidR="001E5834" w:rsidRPr="001E5834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 xml:space="preserve"> </w:t>
      </w:r>
      <w:r w:rsidR="001E5834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C</w:t>
      </w:r>
      <w:r w:rsidR="001E5834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onsiderar el encabezado y pie de página</w:t>
      </w:r>
    </w:p>
    <w:p w14:paraId="311BB860" w14:textId="77777777" w:rsidR="00177F46" w:rsidRPr="00EB7CD3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4AFC5F8A" w:rsidR="00177F46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 subrayado con amarillo son indicaciones del formato, por lo cual deberá eliminarse.</w:t>
      </w:r>
    </w:p>
    <w:p w14:paraId="0ACB82DE" w14:textId="77777777" w:rsidR="00E35F39" w:rsidRPr="00E35F39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7A4989D" w14:textId="6856B633" w:rsidR="00C56AAA" w:rsidRDefault="00E35F39" w:rsidP="00C56AAA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respetarse la información establecida en el formato ya que es de carácter obligatorio.</w:t>
      </w:r>
      <w:r w:rsidR="00486413" w:rsidRPr="0048641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="00486413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bookmarkEnd w:id="0"/>
    </w:p>
    <w:p w14:paraId="371DEF09" w14:textId="77777777" w:rsidR="00A9649F" w:rsidRPr="00A9649F" w:rsidRDefault="00A9649F" w:rsidP="00A9649F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61989F23" w14:textId="77777777" w:rsidR="00A9649F" w:rsidRPr="00A9649F" w:rsidRDefault="00A9649F" w:rsidP="00A9649F">
      <w:pPr>
        <w:pStyle w:val="Prrafodelista"/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385ED872" w14:textId="77777777" w:rsidR="00E90A54" w:rsidRPr="00E90A54" w:rsidRDefault="00E90A54" w:rsidP="00E90A5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2060"/>
          <w:sz w:val="36"/>
          <w:szCs w:val="36"/>
          <w:lang w:val="es-ES" w:eastAsia="es-ES"/>
        </w:rPr>
      </w:pPr>
      <w:r w:rsidRPr="00E90A54">
        <w:rPr>
          <w:rFonts w:ascii="Arial" w:eastAsia="Times New Roman" w:hAnsi="Arial" w:cs="Arial"/>
          <w:b/>
          <w:bCs/>
          <w:color w:val="002060"/>
          <w:sz w:val="36"/>
          <w:szCs w:val="36"/>
          <w:lang w:val="es-ES" w:eastAsia="es-ES"/>
        </w:rPr>
        <w:t>Cronograma de tareas y unidades responsables</w:t>
      </w:r>
    </w:p>
    <w:p w14:paraId="06531D8A" w14:textId="6B3C5BDC" w:rsidR="004505DB" w:rsidRDefault="00E90A54" w:rsidP="00E90A5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2060"/>
          <w:sz w:val="36"/>
          <w:szCs w:val="36"/>
          <w:lang w:val="es-ES" w:eastAsia="es-ES"/>
        </w:rPr>
      </w:pPr>
      <w:r w:rsidRPr="00E90A54">
        <w:rPr>
          <w:rFonts w:ascii="Arial" w:eastAsia="Times New Roman" w:hAnsi="Arial" w:cs="Arial"/>
          <w:b/>
          <w:bCs/>
          <w:color w:val="002060"/>
          <w:sz w:val="36"/>
          <w:szCs w:val="36"/>
          <w:lang w:val="es-ES" w:eastAsia="es-ES"/>
        </w:rPr>
        <w:t xml:space="preserve">Convenio marco </w:t>
      </w:r>
    </w:p>
    <w:p w14:paraId="223661CB" w14:textId="18DDB215" w:rsidR="00D30A67" w:rsidRPr="004505DB" w:rsidRDefault="00D30A67" w:rsidP="005537E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DA0E1B1" w14:textId="77777777" w:rsidR="004505DB" w:rsidRPr="004505DB" w:rsidRDefault="004505DB" w:rsidP="004505D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505D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Programa presupuestario: </w:t>
      </w:r>
      <w:r w:rsidRPr="004505DB">
        <w:rPr>
          <w:rFonts w:ascii="Arial" w:eastAsia="Times New Roman" w:hAnsi="Arial" w:cs="Arial"/>
          <w:sz w:val="24"/>
          <w:szCs w:val="24"/>
          <w:highlight w:val="lightGray"/>
          <w:lang w:val="es-ES" w:eastAsia="es-ES"/>
        </w:rPr>
        <w:t>xx</w:t>
      </w:r>
    </w:p>
    <w:p w14:paraId="5FFF23BB" w14:textId="5B76EEAB" w:rsidR="004505DB" w:rsidRPr="004505DB" w:rsidRDefault="004505DB" w:rsidP="004505D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505D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Subpartida: </w:t>
      </w:r>
      <w:r w:rsidRPr="004505DB">
        <w:rPr>
          <w:rFonts w:ascii="Arial" w:eastAsia="Times New Roman" w:hAnsi="Arial" w:cs="Arial"/>
          <w:sz w:val="24"/>
          <w:szCs w:val="24"/>
          <w:highlight w:val="lightGray"/>
          <w:lang w:val="es-ES" w:eastAsia="es-ES"/>
        </w:rPr>
        <w:t>xx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4505DB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indicar número</w:t>
      </w:r>
    </w:p>
    <w:p w14:paraId="67B66884" w14:textId="0DC90C2B" w:rsidR="004505DB" w:rsidRDefault="004505DB" w:rsidP="00A9649F">
      <w:pPr>
        <w:tabs>
          <w:tab w:val="right" w:pos="8840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505D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No. Oficio de solicitud (remisión): </w:t>
      </w:r>
      <w:r w:rsidRPr="004505DB">
        <w:rPr>
          <w:rFonts w:ascii="Arial" w:eastAsia="Times New Roman" w:hAnsi="Arial" w:cs="Arial"/>
          <w:sz w:val="24"/>
          <w:szCs w:val="24"/>
          <w:highlight w:val="lightGray"/>
          <w:lang w:val="es-ES" w:eastAsia="es-ES"/>
        </w:rPr>
        <w:t>xx</w:t>
      </w:r>
      <w:r>
        <w:rPr>
          <w:rFonts w:ascii="Arial" w:eastAsia="Times New Roman" w:hAnsi="Arial" w:cs="Arial"/>
          <w:sz w:val="24"/>
          <w:szCs w:val="24"/>
          <w:highlight w:val="lightGray"/>
          <w:lang w:val="es-ES" w:eastAsia="es-ES"/>
        </w:rPr>
        <w:t xml:space="preserve">  </w:t>
      </w:r>
    </w:p>
    <w:p w14:paraId="74E4849E" w14:textId="77777777" w:rsidR="00A9649F" w:rsidRPr="00A9649F" w:rsidRDefault="00A9649F" w:rsidP="00A9649F">
      <w:pPr>
        <w:tabs>
          <w:tab w:val="right" w:pos="8840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21717B0" w14:textId="2F34D50A" w:rsidR="00D30A67" w:rsidRDefault="004505DB" w:rsidP="004505DB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4505DB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>Primera fase: Procedimiento de contratación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93"/>
        <w:gridCol w:w="2657"/>
        <w:gridCol w:w="3178"/>
      </w:tblGrid>
      <w:tr w:rsidR="00D30A67" w:rsidRPr="00D30A67" w14:paraId="6A2AD833" w14:textId="77777777" w:rsidTr="00FA2AA2">
        <w:trPr>
          <w:trHeight w:val="337"/>
        </w:trPr>
        <w:tc>
          <w:tcPr>
            <w:tcW w:w="3085" w:type="dxa"/>
            <w:shd w:val="clear" w:color="auto" w:fill="DBDBDB"/>
          </w:tcPr>
          <w:p w14:paraId="1037ABB2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Actividad</w:t>
            </w:r>
          </w:p>
        </w:tc>
        <w:tc>
          <w:tcPr>
            <w:tcW w:w="2701" w:type="dxa"/>
            <w:shd w:val="clear" w:color="auto" w:fill="DBDBDB"/>
          </w:tcPr>
          <w:p w14:paraId="42C281D6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Plazos</w:t>
            </w:r>
          </w:p>
        </w:tc>
        <w:tc>
          <w:tcPr>
            <w:tcW w:w="3253" w:type="dxa"/>
            <w:shd w:val="clear" w:color="auto" w:fill="DBDBDB"/>
          </w:tcPr>
          <w:p w14:paraId="3AFBD518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Responsable</w:t>
            </w:r>
          </w:p>
        </w:tc>
      </w:tr>
      <w:tr w:rsidR="00D30A67" w:rsidRPr="00D30A67" w14:paraId="3D550897" w14:textId="77777777" w:rsidTr="00FA2AA2">
        <w:tc>
          <w:tcPr>
            <w:tcW w:w="3085" w:type="dxa"/>
            <w:shd w:val="clear" w:color="auto" w:fill="FFFFFF"/>
          </w:tcPr>
          <w:p w14:paraId="08B51E9B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Traslado de documentos previos firmados.</w:t>
            </w:r>
          </w:p>
        </w:tc>
        <w:tc>
          <w:tcPr>
            <w:tcW w:w="2701" w:type="dxa"/>
            <w:shd w:val="clear" w:color="auto" w:fill="FFFFFF"/>
          </w:tcPr>
          <w:p w14:paraId="2763E060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 días hábiles</w:t>
            </w:r>
          </w:p>
        </w:tc>
        <w:tc>
          <w:tcPr>
            <w:tcW w:w="3253" w:type="dxa"/>
            <w:shd w:val="clear" w:color="auto" w:fill="FFFFFF"/>
          </w:tcPr>
          <w:p w14:paraId="3DA381F7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44BDB852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Analista y jefatura del Departamento de Planificación y Programación de Adquisiciones</w:t>
            </w:r>
          </w:p>
        </w:tc>
      </w:tr>
      <w:tr w:rsidR="00D30A67" w:rsidRPr="00D30A67" w14:paraId="66CED42A" w14:textId="77777777" w:rsidTr="00FA2AA2">
        <w:tc>
          <w:tcPr>
            <w:tcW w:w="3085" w:type="dxa"/>
            <w:shd w:val="clear" w:color="auto" w:fill="FFFFFF"/>
          </w:tcPr>
          <w:p w14:paraId="02376ACA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Registro de compra por catálogo</w:t>
            </w:r>
          </w:p>
        </w:tc>
        <w:tc>
          <w:tcPr>
            <w:tcW w:w="2701" w:type="dxa"/>
            <w:shd w:val="clear" w:color="auto" w:fill="FFFFFF"/>
          </w:tcPr>
          <w:p w14:paraId="23088A5F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15 días hábiles</w:t>
            </w:r>
          </w:p>
        </w:tc>
        <w:tc>
          <w:tcPr>
            <w:tcW w:w="3253" w:type="dxa"/>
            <w:shd w:val="clear" w:color="auto" w:fill="FFFFFF"/>
          </w:tcPr>
          <w:p w14:paraId="19B120D4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3B4525FB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Analista del Departamento de Contratación Administrativa</w:t>
            </w:r>
          </w:p>
        </w:tc>
      </w:tr>
      <w:tr w:rsidR="00D30A67" w:rsidRPr="00D30A67" w14:paraId="55DBDFC6" w14:textId="77777777" w:rsidTr="00FA2AA2">
        <w:tc>
          <w:tcPr>
            <w:tcW w:w="3085" w:type="dxa"/>
            <w:shd w:val="clear" w:color="auto" w:fill="FFFFFF"/>
          </w:tcPr>
          <w:p w14:paraId="27AE4220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lastRenderedPageBreak/>
              <w:t>Plazo para adjudicar</w:t>
            </w:r>
          </w:p>
        </w:tc>
        <w:tc>
          <w:tcPr>
            <w:tcW w:w="2701" w:type="dxa"/>
            <w:shd w:val="clear" w:color="auto" w:fill="FFFFFF"/>
          </w:tcPr>
          <w:p w14:paraId="632B8A8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Según Directriz de Uso y Anexo al Pliego de Condiciones correspondiente </w:t>
            </w:r>
          </w:p>
          <w:p w14:paraId="186F6DFD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253" w:type="dxa"/>
            <w:shd w:val="clear" w:color="auto" w:fill="FFFFFF"/>
          </w:tcPr>
          <w:p w14:paraId="05DB34D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4585E85A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Proveedor Institucional</w:t>
            </w:r>
          </w:p>
          <w:p w14:paraId="68490F46" w14:textId="6087A0B5" w:rsidR="00D30A67" w:rsidRPr="005537EE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Analista del Departamento de Contratación Administrativa</w:t>
            </w:r>
          </w:p>
        </w:tc>
      </w:tr>
    </w:tbl>
    <w:p w14:paraId="3F229FD5" w14:textId="77777777" w:rsidR="00D30A67" w:rsidRDefault="00D30A67" w:rsidP="004505DB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78310F7E" w14:textId="24D435EC" w:rsidR="00B954E1" w:rsidRDefault="00D30A67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D30A67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 xml:space="preserve">Segunda fase: Ejecución Contractual 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664"/>
        <w:gridCol w:w="3202"/>
      </w:tblGrid>
      <w:tr w:rsidR="00D30A67" w:rsidRPr="00D30A67" w14:paraId="78BCFF7F" w14:textId="77777777" w:rsidTr="00A9649F">
        <w:trPr>
          <w:trHeight w:val="479"/>
        </w:trPr>
        <w:tc>
          <w:tcPr>
            <w:tcW w:w="3032" w:type="dxa"/>
            <w:shd w:val="clear" w:color="auto" w:fill="DBDBDB"/>
          </w:tcPr>
          <w:p w14:paraId="2AB79487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Actividades</w:t>
            </w:r>
          </w:p>
        </w:tc>
        <w:tc>
          <w:tcPr>
            <w:tcW w:w="2664" w:type="dxa"/>
            <w:shd w:val="clear" w:color="auto" w:fill="DBDBDB"/>
          </w:tcPr>
          <w:p w14:paraId="5FC9C8FF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 xml:space="preserve">Plazos </w:t>
            </w:r>
          </w:p>
        </w:tc>
        <w:tc>
          <w:tcPr>
            <w:tcW w:w="3202" w:type="dxa"/>
            <w:shd w:val="clear" w:color="auto" w:fill="DBDBDB"/>
          </w:tcPr>
          <w:p w14:paraId="5B30C330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 xml:space="preserve">Responsable </w:t>
            </w:r>
          </w:p>
        </w:tc>
      </w:tr>
      <w:tr w:rsidR="00D30A67" w:rsidRPr="00D30A67" w14:paraId="151FE4A6" w14:textId="77777777" w:rsidTr="00A9649F">
        <w:trPr>
          <w:trHeight w:val="1655"/>
        </w:trPr>
        <w:tc>
          <w:tcPr>
            <w:tcW w:w="3032" w:type="dxa"/>
            <w:shd w:val="clear" w:color="auto" w:fill="FFFFFF"/>
          </w:tcPr>
          <w:p w14:paraId="05A29D08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Orden de inicio del contrato</w:t>
            </w:r>
          </w:p>
        </w:tc>
        <w:tc>
          <w:tcPr>
            <w:tcW w:w="2664" w:type="dxa"/>
            <w:shd w:val="clear" w:color="auto" w:fill="FFFFFF"/>
          </w:tcPr>
          <w:p w14:paraId="4A6EF2FA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acuerdo a lo indicado en la orden de compra.</w:t>
            </w:r>
          </w:p>
          <w:p w14:paraId="1D6C4E11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202" w:type="dxa"/>
            <w:shd w:val="clear" w:color="auto" w:fill="FFFFFF"/>
          </w:tcPr>
          <w:p w14:paraId="5EFBB592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7971823E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129E8D6C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1CF8F01A" w14:textId="340204F8" w:rsidR="00D30A67" w:rsidRPr="005537EE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</w:tc>
      </w:tr>
      <w:tr w:rsidR="00D30A67" w:rsidRPr="00D30A67" w14:paraId="60C1A8D9" w14:textId="77777777" w:rsidTr="00A9649F">
        <w:trPr>
          <w:trHeight w:val="1690"/>
        </w:trPr>
        <w:tc>
          <w:tcPr>
            <w:tcW w:w="3032" w:type="dxa"/>
            <w:shd w:val="clear" w:color="auto" w:fill="FFFFFF"/>
          </w:tcPr>
          <w:p w14:paraId="0393678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Fiscalización del cumplimiento de especificación del objeto contractual y de los plazos de ejecución</w:t>
            </w:r>
          </w:p>
        </w:tc>
        <w:tc>
          <w:tcPr>
            <w:tcW w:w="2664" w:type="dxa"/>
            <w:shd w:val="clear" w:color="auto" w:fill="FFFFFF"/>
          </w:tcPr>
          <w:p w14:paraId="48F895B7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acuerdo con los plazos establecidos en la Directriz de Uso y Anexo al Pliego de Condiciones  </w:t>
            </w:r>
          </w:p>
          <w:p w14:paraId="0394733D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202" w:type="dxa"/>
            <w:shd w:val="clear" w:color="auto" w:fill="FFFFFF"/>
          </w:tcPr>
          <w:p w14:paraId="711591E5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638AFAD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</w:t>
            </w:r>
          </w:p>
          <w:p w14:paraId="65C7207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23346A5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2CDF620B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10C117D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5ABB5BE8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D30A67" w:rsidRPr="00D30A67" w14:paraId="2D5E9B21" w14:textId="77777777" w:rsidTr="00A9649F">
        <w:trPr>
          <w:trHeight w:val="1235"/>
        </w:trPr>
        <w:tc>
          <w:tcPr>
            <w:tcW w:w="3032" w:type="dxa"/>
            <w:shd w:val="clear" w:color="auto" w:fill="FFFFFF"/>
          </w:tcPr>
          <w:p w14:paraId="0077774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Tramitación de gestiones formuladas por el contratista</w:t>
            </w:r>
          </w:p>
        </w:tc>
        <w:tc>
          <w:tcPr>
            <w:tcW w:w="2664" w:type="dxa"/>
            <w:shd w:val="clear" w:color="auto" w:fill="FFFFFF"/>
          </w:tcPr>
          <w:p w14:paraId="0228C973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 días hábiles</w:t>
            </w:r>
          </w:p>
        </w:tc>
        <w:tc>
          <w:tcPr>
            <w:tcW w:w="3202" w:type="dxa"/>
            <w:shd w:val="clear" w:color="auto" w:fill="FFFFFF"/>
          </w:tcPr>
          <w:p w14:paraId="71C4F9A5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2CAA3579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18D23E4C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54ACAD32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Correo electrónico:</w:t>
            </w:r>
          </w:p>
          <w:p w14:paraId="7F7D2ADB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7FE20FA3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03494812" w14:textId="6F809232" w:rsidR="00D30A67" w:rsidRPr="005537EE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D30A67" w:rsidRPr="00D30A67" w14:paraId="47A79644" w14:textId="77777777" w:rsidTr="00A9649F">
        <w:trPr>
          <w:trHeight w:val="4138"/>
        </w:trPr>
        <w:tc>
          <w:tcPr>
            <w:tcW w:w="3032" w:type="dxa"/>
            <w:shd w:val="clear" w:color="auto" w:fill="FFFFFF"/>
          </w:tcPr>
          <w:p w14:paraId="21720A7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Indicación de si procede o no la prórroga al plazo de ejecución</w:t>
            </w:r>
          </w:p>
        </w:tc>
        <w:tc>
          <w:tcPr>
            <w:tcW w:w="2664" w:type="dxa"/>
            <w:shd w:val="clear" w:color="auto" w:fill="FFFFFF"/>
          </w:tcPr>
          <w:p w14:paraId="2F097BE3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 días hábiles</w:t>
            </w:r>
          </w:p>
        </w:tc>
        <w:tc>
          <w:tcPr>
            <w:tcW w:w="3202" w:type="dxa"/>
            <w:shd w:val="clear" w:color="auto" w:fill="FFFFFF"/>
          </w:tcPr>
          <w:p w14:paraId="19E26D76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1E8E11F9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4B544995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7B97C7F2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08DE818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5B1CFB20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01DAF2F7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D30A67" w:rsidRPr="00D30A67" w14:paraId="08FCA249" w14:textId="77777777" w:rsidTr="00A9649F">
        <w:trPr>
          <w:trHeight w:val="4546"/>
        </w:trPr>
        <w:tc>
          <w:tcPr>
            <w:tcW w:w="3032" w:type="dxa"/>
            <w:shd w:val="clear" w:color="auto" w:fill="FFFFFF"/>
          </w:tcPr>
          <w:p w14:paraId="033C92D0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Recepción Provisional </w:t>
            </w:r>
          </w:p>
        </w:tc>
        <w:tc>
          <w:tcPr>
            <w:tcW w:w="2664" w:type="dxa"/>
            <w:shd w:val="clear" w:color="auto" w:fill="FFFFFF"/>
          </w:tcPr>
          <w:p w14:paraId="45D8F374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acuerdo con los plazos establecidos en la Directriz de Uso y Anexo al Pliego de Condiciones correspondiente </w:t>
            </w:r>
          </w:p>
          <w:p w14:paraId="2F008455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202" w:type="dxa"/>
            <w:shd w:val="clear" w:color="auto" w:fill="FFFFFF"/>
          </w:tcPr>
          <w:p w14:paraId="41E17D88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02999D48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5A338296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05258D83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0CB29CFB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3B3CFA1D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2D53F577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Departamento de Administración de Bienes, Centro de Almacenamiento y Distribución.</w:t>
            </w:r>
          </w:p>
        </w:tc>
      </w:tr>
      <w:tr w:rsidR="00D30A67" w:rsidRPr="00D30A67" w14:paraId="267CEF4B" w14:textId="77777777" w:rsidTr="00A9649F">
        <w:trPr>
          <w:trHeight w:val="4138"/>
        </w:trPr>
        <w:tc>
          <w:tcPr>
            <w:tcW w:w="3032" w:type="dxa"/>
            <w:shd w:val="clear" w:color="auto" w:fill="FFFFFF"/>
          </w:tcPr>
          <w:p w14:paraId="5EEA8C0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Otorgamiento de un plazo para la corrección del incumplimiento</w:t>
            </w:r>
          </w:p>
        </w:tc>
        <w:tc>
          <w:tcPr>
            <w:tcW w:w="2664" w:type="dxa"/>
            <w:shd w:val="clear" w:color="auto" w:fill="FFFFFF"/>
          </w:tcPr>
          <w:p w14:paraId="6709F91F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Máximo la mitad del plazo original de entrega del objeto contractual.</w:t>
            </w:r>
          </w:p>
        </w:tc>
        <w:tc>
          <w:tcPr>
            <w:tcW w:w="3202" w:type="dxa"/>
            <w:shd w:val="clear" w:color="auto" w:fill="FFFFFF"/>
          </w:tcPr>
          <w:p w14:paraId="04A716A6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191C7F80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755416E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35FEBD96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08BBE31C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2B0464D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629C6FE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D30A67" w:rsidRPr="00D30A67" w14:paraId="5DF50913" w14:textId="77777777" w:rsidTr="00A9649F">
        <w:trPr>
          <w:trHeight w:val="1784"/>
        </w:trPr>
        <w:tc>
          <w:tcPr>
            <w:tcW w:w="3032" w:type="dxa"/>
            <w:shd w:val="clear" w:color="auto" w:fill="FFFFFF"/>
          </w:tcPr>
          <w:p w14:paraId="56CE1F7C" w14:textId="20CC6841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Investigación preliminar para documentar presuntos incumplimientos</w:t>
            </w:r>
          </w:p>
        </w:tc>
        <w:tc>
          <w:tcPr>
            <w:tcW w:w="2664" w:type="dxa"/>
            <w:shd w:val="clear" w:color="auto" w:fill="FFFFFF"/>
          </w:tcPr>
          <w:p w14:paraId="3C9AC54B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30 días calendario</w:t>
            </w:r>
          </w:p>
        </w:tc>
        <w:tc>
          <w:tcPr>
            <w:tcW w:w="3202" w:type="dxa"/>
            <w:shd w:val="clear" w:color="auto" w:fill="FFFFFF"/>
          </w:tcPr>
          <w:p w14:paraId="188FA1A5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5938F0C9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787A318C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02CBC299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</w:tc>
      </w:tr>
      <w:tr w:rsidR="00D30A67" w:rsidRPr="00D30A67" w14:paraId="14D5255F" w14:textId="77777777" w:rsidTr="00A9649F">
        <w:trPr>
          <w:trHeight w:val="1398"/>
        </w:trPr>
        <w:tc>
          <w:tcPr>
            <w:tcW w:w="3032" w:type="dxa"/>
            <w:tcBorders>
              <w:bottom w:val="single" w:sz="4" w:space="0" w:color="auto"/>
            </w:tcBorders>
            <w:shd w:val="clear" w:color="auto" w:fill="FFFFFF"/>
          </w:tcPr>
          <w:p w14:paraId="1C69FF2A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Recepción definitiva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</w:tcPr>
          <w:p w14:paraId="296EAFE6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 mes siguiente a la recepción provisional o según el plazo establecido en el pliego de condiciones</w:t>
            </w:r>
          </w:p>
        </w:tc>
        <w:tc>
          <w:tcPr>
            <w:tcW w:w="3202" w:type="dxa"/>
            <w:shd w:val="clear" w:color="auto" w:fill="FFFFFF"/>
          </w:tcPr>
          <w:p w14:paraId="165EC287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4C5982D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0FC7A99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10F7FDED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D30A67" w:rsidRPr="00D30A67" w14:paraId="6CE4718A" w14:textId="77777777" w:rsidTr="00A9649F">
        <w:trPr>
          <w:trHeight w:val="2397"/>
        </w:trPr>
        <w:tc>
          <w:tcPr>
            <w:tcW w:w="3032" w:type="dxa"/>
            <w:shd w:val="clear" w:color="auto" w:fill="FFFFFF"/>
          </w:tcPr>
          <w:p w14:paraId="500770CC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Recibo conforme de la factura.</w:t>
            </w:r>
          </w:p>
        </w:tc>
        <w:tc>
          <w:tcPr>
            <w:tcW w:w="2664" w:type="dxa"/>
            <w:shd w:val="clear" w:color="auto" w:fill="FFFFFF"/>
          </w:tcPr>
          <w:p w14:paraId="487F204B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03 días hábiles</w:t>
            </w:r>
          </w:p>
        </w:tc>
        <w:tc>
          <w:tcPr>
            <w:tcW w:w="3202" w:type="dxa"/>
          </w:tcPr>
          <w:p w14:paraId="5006C373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2E84E354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3B11CB1B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34A9B07D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</w:t>
            </w:r>
          </w:p>
        </w:tc>
      </w:tr>
      <w:tr w:rsidR="00D30A67" w:rsidRPr="00D30A67" w14:paraId="4DF8823B" w14:textId="77777777" w:rsidTr="00A9649F">
        <w:trPr>
          <w:trHeight w:val="2397"/>
        </w:trPr>
        <w:tc>
          <w:tcPr>
            <w:tcW w:w="3032" w:type="dxa"/>
            <w:shd w:val="clear" w:color="auto" w:fill="FFFFFF"/>
          </w:tcPr>
          <w:p w14:paraId="12E4BBF0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visado de facturas</w:t>
            </w:r>
          </w:p>
          <w:p w14:paraId="6C0AA2F4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64" w:type="dxa"/>
            <w:shd w:val="clear" w:color="auto" w:fill="FFFFFF"/>
          </w:tcPr>
          <w:p w14:paraId="6F1A5064" w14:textId="77777777" w:rsidR="00D30A67" w:rsidRPr="00D30A67" w:rsidRDefault="00D30A67" w:rsidP="00D30A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03 días hábiles</w:t>
            </w:r>
          </w:p>
        </w:tc>
        <w:tc>
          <w:tcPr>
            <w:tcW w:w="3202" w:type="dxa"/>
          </w:tcPr>
          <w:p w14:paraId="5F8AFFF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Jefe de programa presupuestario</w:t>
            </w:r>
          </w:p>
          <w:p w14:paraId="7289A4E1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5872DE5" w14:textId="77777777" w:rsidR="00D30A67" w:rsidRPr="00D30A67" w:rsidRDefault="00D30A67" w:rsidP="00D30A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0A6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</w:tc>
      </w:tr>
    </w:tbl>
    <w:p w14:paraId="782B602C" w14:textId="33158261" w:rsidR="005D02D5" w:rsidRDefault="005D02D5" w:rsidP="005D02D5">
      <w:pPr>
        <w:pBdr>
          <w:bottom w:val="single" w:sz="4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1EE9D85F" w14:textId="77777777" w:rsidR="005D02D5" w:rsidRDefault="005D02D5" w:rsidP="005D02D5">
      <w:pPr>
        <w:pStyle w:val="Textonotaalfinal"/>
      </w:pPr>
      <w:r>
        <w:rPr>
          <w:rStyle w:val="Refdenotaalfinal"/>
        </w:rPr>
        <w:footnoteRef/>
      </w:r>
      <w:r>
        <w:t xml:space="preserve"> Incluye aprobación de la Dirección de Proveeduría Institucional y visado de la Dirección Financiera.</w:t>
      </w:r>
    </w:p>
    <w:p w14:paraId="067F5B77" w14:textId="5485AC6F" w:rsidR="005D02D5" w:rsidRDefault="005D02D5" w:rsidP="005D02D5">
      <w:pPr>
        <w:pStyle w:val="Textonotaalfinal"/>
      </w:pPr>
      <w:bookmarkStart w:id="1" w:name="_GoBack"/>
      <w:bookmarkEnd w:id="1"/>
    </w:p>
    <w:p w14:paraId="7CA67B8F" w14:textId="77777777" w:rsidR="005D02D5" w:rsidRDefault="005D02D5" w:rsidP="005D02D5">
      <w:pPr>
        <w:pStyle w:val="Textonotaalfinal"/>
      </w:pPr>
    </w:p>
    <w:p w14:paraId="5EE48E1D" w14:textId="77777777" w:rsidR="005D02D5" w:rsidRDefault="005D02D5" w:rsidP="005D02D5">
      <w:pPr>
        <w:pStyle w:val="Textonotaalfinal"/>
      </w:pPr>
    </w:p>
    <w:p w14:paraId="012CDCFC" w14:textId="77777777" w:rsidR="005D02D5" w:rsidRDefault="005D02D5" w:rsidP="005D0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</w:p>
    <w:p w14:paraId="312658FC" w14:textId="77777777" w:rsidR="005D02D5" w:rsidRDefault="005D02D5" w:rsidP="005D0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Puesto </w:t>
      </w:r>
    </w:p>
    <w:p w14:paraId="2730802F" w14:textId="77777777" w:rsidR="005D02D5" w:rsidRDefault="005D02D5" w:rsidP="005D0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Unidad gestora</w:t>
      </w:r>
    </w:p>
    <w:p w14:paraId="0AB258BE" w14:textId="77777777" w:rsidR="005D02D5" w:rsidRDefault="005D02D5" w:rsidP="005D02D5">
      <w:pPr>
        <w:spacing w:line="360" w:lineRule="auto"/>
        <w:rPr>
          <w:rFonts w:ascii="Arial" w:hAnsi="Arial" w:cs="Arial"/>
        </w:rPr>
      </w:pPr>
    </w:p>
    <w:p w14:paraId="77031BB1" w14:textId="77777777" w:rsidR="005D02D5" w:rsidRDefault="005D02D5" w:rsidP="005D02D5">
      <w:pPr>
        <w:spacing w:line="360" w:lineRule="auto"/>
        <w:rPr>
          <w:rFonts w:ascii="Arial" w:hAnsi="Arial" w:cs="Arial"/>
        </w:rPr>
      </w:pPr>
    </w:p>
    <w:p w14:paraId="4D4A535E" w14:textId="77777777" w:rsidR="005D02D5" w:rsidRDefault="005D02D5" w:rsidP="005D0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</w:t>
      </w:r>
    </w:p>
    <w:p w14:paraId="376D1B56" w14:textId="77777777" w:rsidR="005D02D5" w:rsidRDefault="005D02D5" w:rsidP="005D0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Jefe de Programa Presupuestario xxx</w:t>
      </w:r>
    </w:p>
    <w:p w14:paraId="5C77BBD7" w14:textId="0AA2374D" w:rsidR="00B954E1" w:rsidRDefault="00B954E1" w:rsidP="00A9649F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sectPr w:rsidR="00B954E1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4A11" w14:textId="77777777" w:rsidR="0063167D" w:rsidRPr="00752D17" w:rsidRDefault="0063167D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EE04453" w14:textId="77777777" w:rsidR="0063167D" w:rsidRPr="00752D17" w:rsidRDefault="0063167D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r w:rsidRPr="00177F46">
      <w:rPr>
        <w:rFonts w:ascii="Verdana" w:hAnsi="Verdana" w:cstheme="minorHAnsi"/>
        <w:highlight w:val="lightGray"/>
      </w:rPr>
      <w:t>xx</w:t>
    </w:r>
  </w:p>
  <w:p w14:paraId="49CDD47A" w14:textId="6BB078E4" w:rsidR="006526DF" w:rsidRPr="00EF03AE" w:rsidRDefault="0063167D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2"/>
    <w:r w:rsidR="00C95564" w:rsidRPr="00752D17">
      <w:rPr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F404D" w14:textId="77777777" w:rsidR="0063167D" w:rsidRPr="00752D17" w:rsidRDefault="0063167D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E06C052" w14:textId="77777777" w:rsidR="0063167D" w:rsidRPr="00752D17" w:rsidRDefault="0063167D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DF"/>
    <w:rsid w:val="000117F0"/>
    <w:rsid w:val="00031618"/>
    <w:rsid w:val="00057B1F"/>
    <w:rsid w:val="00066FF4"/>
    <w:rsid w:val="00073C83"/>
    <w:rsid w:val="00081A9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E5834"/>
    <w:rsid w:val="001F527A"/>
    <w:rsid w:val="00236F37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505DB"/>
    <w:rsid w:val="00486413"/>
    <w:rsid w:val="004E2B30"/>
    <w:rsid w:val="005041A2"/>
    <w:rsid w:val="005537EE"/>
    <w:rsid w:val="00564072"/>
    <w:rsid w:val="00586398"/>
    <w:rsid w:val="005A1875"/>
    <w:rsid w:val="005A60DF"/>
    <w:rsid w:val="005D02D5"/>
    <w:rsid w:val="005D354B"/>
    <w:rsid w:val="005D420E"/>
    <w:rsid w:val="0063167D"/>
    <w:rsid w:val="00637196"/>
    <w:rsid w:val="00642B74"/>
    <w:rsid w:val="006526DF"/>
    <w:rsid w:val="006B6848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575F0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9649F"/>
    <w:rsid w:val="00AD7A63"/>
    <w:rsid w:val="00AE049E"/>
    <w:rsid w:val="00AF221D"/>
    <w:rsid w:val="00B07047"/>
    <w:rsid w:val="00B218EE"/>
    <w:rsid w:val="00B2742C"/>
    <w:rsid w:val="00B703A9"/>
    <w:rsid w:val="00B953FB"/>
    <w:rsid w:val="00B954E1"/>
    <w:rsid w:val="00BC5A30"/>
    <w:rsid w:val="00BC5BA4"/>
    <w:rsid w:val="00C071F9"/>
    <w:rsid w:val="00C309DB"/>
    <w:rsid w:val="00C56AAA"/>
    <w:rsid w:val="00C6620D"/>
    <w:rsid w:val="00C95564"/>
    <w:rsid w:val="00CB2ACD"/>
    <w:rsid w:val="00CB4023"/>
    <w:rsid w:val="00CB498A"/>
    <w:rsid w:val="00CB791C"/>
    <w:rsid w:val="00CC5718"/>
    <w:rsid w:val="00D30A67"/>
    <w:rsid w:val="00D948FB"/>
    <w:rsid w:val="00DC4DBD"/>
    <w:rsid w:val="00DD702C"/>
    <w:rsid w:val="00DF46AE"/>
    <w:rsid w:val="00E148B8"/>
    <w:rsid w:val="00E23CC1"/>
    <w:rsid w:val="00E35F39"/>
    <w:rsid w:val="00E90A54"/>
    <w:rsid w:val="00EC202F"/>
    <w:rsid w:val="00ED18E8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5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5D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Usuario</cp:lastModifiedBy>
  <cp:revision>10</cp:revision>
  <cp:lastPrinted>2023-11-27T20:58:00Z</cp:lastPrinted>
  <dcterms:created xsi:type="dcterms:W3CDTF">2023-12-05T19:19:00Z</dcterms:created>
  <dcterms:modified xsi:type="dcterms:W3CDTF">2023-12-06T14:47:00Z</dcterms:modified>
</cp:coreProperties>
</file>